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0DAF8EA0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3775DD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10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2D8247B2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B37B6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7DF5AB39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3775DD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10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8F08E9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Electricité – courants forts – courants faibles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B37B6B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B37B6B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B37B6B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B37B6B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B37B6B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p w14:paraId="73828E12" w14:textId="729143B8" w:rsidR="00897395" w:rsidRDefault="00897395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456E0C22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B70687">
        <w:rPr>
          <w:rFonts w:cs="Arial"/>
          <w:u w:val="single"/>
        </w:rPr>
        <w:t>tte</w:t>
      </w:r>
      <w:r w:rsidRPr="004A4567">
        <w:rPr>
          <w:rFonts w:cs="Arial"/>
          <w:u w:val="single"/>
        </w:rPr>
        <w:t xml:space="preserve"> prestation supplémentaire est obligatoire. </w:t>
      </w:r>
      <w:r w:rsidR="00B70687">
        <w:rPr>
          <w:rFonts w:cs="Arial"/>
          <w:u w:val="single"/>
        </w:rPr>
        <w:t>Son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5C1B8323" w:rsidR="008F08E9" w:rsidRDefault="008F08E9" w:rsidP="00740D64">
      <w:pPr>
        <w:jc w:val="center"/>
        <w:rPr>
          <w:rFonts w:cs="Arial"/>
        </w:rPr>
      </w:pPr>
    </w:p>
    <w:p w14:paraId="56670605" w14:textId="77777777" w:rsidR="008F08E9" w:rsidRPr="008F08E9" w:rsidRDefault="008F08E9" w:rsidP="008F08E9">
      <w:pPr>
        <w:rPr>
          <w:rFonts w:cs="Arial"/>
        </w:rPr>
      </w:pPr>
    </w:p>
    <w:p w14:paraId="54D3618E" w14:textId="10421EA9" w:rsidR="008F08E9" w:rsidRPr="008F08E9" w:rsidRDefault="008F08E9" w:rsidP="008F08E9">
      <w:pPr>
        <w:tabs>
          <w:tab w:val="left" w:pos="6899"/>
        </w:tabs>
        <w:rPr>
          <w:rFonts w:cs="Arial"/>
        </w:rPr>
      </w:pPr>
      <w:r>
        <w:rPr>
          <w:rFonts w:cs="Arial"/>
        </w:rPr>
        <w:tab/>
      </w:r>
    </w:p>
    <w:p w14:paraId="2682B434" w14:textId="4C5266E4" w:rsidR="00740D64" w:rsidRPr="008F08E9" w:rsidRDefault="008F08E9" w:rsidP="008F08E9">
      <w:pPr>
        <w:tabs>
          <w:tab w:val="left" w:pos="6899"/>
        </w:tabs>
        <w:rPr>
          <w:rFonts w:cs="Arial"/>
        </w:rPr>
        <w:sectPr w:rsidR="00740D64" w:rsidRPr="008F08E9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cs="Arial"/>
        </w:rPr>
        <w:tab/>
      </w:r>
    </w:p>
    <w:p w14:paraId="45275991" w14:textId="77777777" w:rsidR="002F55D3" w:rsidRDefault="002F55D3" w:rsidP="002F55D3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11A3E7F2" w14:textId="77777777" w:rsidR="002F55D3" w:rsidRDefault="002F55D3" w:rsidP="002F55D3"/>
    <w:p w14:paraId="5805E157" w14:textId="77777777" w:rsidR="002F55D3" w:rsidRDefault="002F55D3" w:rsidP="002F55D3"/>
    <w:p w14:paraId="74A2A9CF" w14:textId="77777777" w:rsidR="002F55D3" w:rsidRPr="00CC0314" w:rsidRDefault="002F55D3" w:rsidP="002F55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1F5956EC" w14:textId="77777777" w:rsidR="002F55D3" w:rsidRPr="00C4435D" w:rsidRDefault="002F55D3" w:rsidP="002F55D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416864CA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CEF770B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9B6BCC8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275320E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50DFE0F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4D8370E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5C4D100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A92E0B1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FC2AB2A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A2D1AF6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702BC0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D4B6387" w14:textId="77777777" w:rsidR="002F55D3" w:rsidRPr="00C4435D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03618C6" w14:textId="77777777" w:rsidR="002F55D3" w:rsidRPr="00386B6E" w:rsidRDefault="002F55D3" w:rsidP="002F55D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06611888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5F6E083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B0FE9E3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C8CA3AD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A6FE137" w14:textId="77777777" w:rsidR="002F55D3" w:rsidRPr="00C4435D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11FCBC1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5BD87D9C" w14:textId="77777777" w:rsidR="002F55D3" w:rsidRDefault="002F55D3" w:rsidP="002F55D3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1B57A2FD" w14:textId="77777777" w:rsidR="002F55D3" w:rsidRPr="00D65453" w:rsidRDefault="002F55D3" w:rsidP="002F55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0C148B2C" w14:textId="77777777" w:rsidR="002F55D3" w:rsidRDefault="002F55D3" w:rsidP="002F55D3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0B2BC080" w14:textId="77777777" w:rsidR="002F55D3" w:rsidRPr="00386B6E" w:rsidRDefault="002F55D3" w:rsidP="002F55D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288493BE" w14:textId="77777777" w:rsidR="002F55D3" w:rsidRPr="00386B6E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1249E11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4D0B4EF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5BA2EF6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2A8553A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EDA8550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0390F7A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81384BF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FD893E3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2AE5903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59990FF" w14:textId="77777777" w:rsidR="002F55D3" w:rsidRPr="00C4435D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F5C565C" w14:textId="77777777" w:rsidR="002F55D3" w:rsidRPr="00386B6E" w:rsidRDefault="002F55D3" w:rsidP="002F55D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7469EB73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E7A876D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DAA22C2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3045539" w14:textId="77777777" w:rsidR="002F55D3" w:rsidRDefault="002F55D3" w:rsidP="002F55D3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846695D" w14:textId="77777777" w:rsidR="002F55D3" w:rsidRPr="00D65453" w:rsidRDefault="002F55D3" w:rsidP="002F55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0044DFB8" w14:textId="77777777" w:rsidR="002F55D3" w:rsidRDefault="002F55D3" w:rsidP="002F55D3">
      <w:pPr>
        <w:jc w:val="both"/>
        <w:rPr>
          <w:rFonts w:cs="Calibri"/>
          <w:b/>
        </w:rPr>
      </w:pPr>
    </w:p>
    <w:p w14:paraId="6D473B88" w14:textId="77777777" w:rsidR="002F55D3" w:rsidRPr="00C4435D" w:rsidRDefault="002F55D3" w:rsidP="002F55D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60C3B842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F809AC3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3BDFC11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A7BC7C1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9AB1E10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4AD3BD5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4DD2322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299B780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E2195EC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9815235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13B7C11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2137696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FB92D3C" w14:textId="77777777" w:rsidR="002F55D3" w:rsidRPr="00C4435D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E094157" w14:textId="77777777" w:rsidR="002F55D3" w:rsidRPr="00C4435D" w:rsidRDefault="002F55D3" w:rsidP="002F55D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441CB232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BED114A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0BD17A6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1413E5B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F01F70F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96FD7A8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02B146BD" w14:textId="77777777" w:rsidR="002F55D3" w:rsidRDefault="002F55D3" w:rsidP="002F55D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5F37A0E" w14:textId="77777777" w:rsidR="002F55D3" w:rsidRDefault="002F55D3" w:rsidP="002F55D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89E4A2C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B9057B7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B821099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7C3A701" w14:textId="77777777" w:rsidR="002F55D3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7EAC115" w14:textId="77777777" w:rsidR="002F55D3" w:rsidRPr="00D814ED" w:rsidRDefault="002F55D3" w:rsidP="002F55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73FE15DF" w14:textId="77777777" w:rsidR="002F55D3" w:rsidRPr="00576D62" w:rsidRDefault="002F55D3" w:rsidP="002F55D3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759A04A5" w14:textId="77777777" w:rsidR="002F55D3" w:rsidRPr="00576D62" w:rsidRDefault="002F55D3" w:rsidP="002F55D3">
      <w:pPr>
        <w:pStyle w:val="Titre1"/>
        <w:rPr>
          <w:rFonts w:cs="Arial"/>
          <w:i/>
          <w:szCs w:val="20"/>
          <w:lang w:eastAsia="fr-FR"/>
        </w:rPr>
      </w:pPr>
    </w:p>
    <w:p w14:paraId="4F24428B" w14:textId="1764EA06" w:rsidR="00D814ED" w:rsidRPr="00576D62" w:rsidRDefault="00D814ED" w:rsidP="002F55D3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11947DF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25TXM0</w:t>
    </w:r>
    <w:r w:rsidR="00B70687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5F4DE603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8F08E9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30837FD9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B118DE" w14:textId="4CFDCE61" w:rsidR="00BF54A8" w:rsidRPr="00B37B6B" w:rsidRDefault="00B37B6B" w:rsidP="00B37B6B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15234E">
            <w:rPr>
              <w:rFonts w:ascii="Trebuchet MS" w:hAnsi="Trebuchet MS"/>
              <w:color w:val="33303D"/>
              <w:sz w:val="16"/>
            </w:rPr>
            <w:t>réponse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15234E">
            <w:rPr>
              <w:rFonts w:ascii="Trebuchet MS" w:hAnsi="Trebuchet MS"/>
              <w:color w:val="33303D"/>
              <w:sz w:val="16"/>
            </w:rPr>
            <w:t>Consultation n°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2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8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13B7EB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903">
    <w:abstractNumId w:val="1"/>
  </w:num>
  <w:num w:numId="2" w16cid:durableId="1739329016">
    <w:abstractNumId w:val="3"/>
  </w:num>
  <w:num w:numId="3" w16cid:durableId="355039683">
    <w:abstractNumId w:val="2"/>
  </w:num>
  <w:num w:numId="4" w16cid:durableId="707069780">
    <w:abstractNumId w:val="4"/>
  </w:num>
  <w:num w:numId="5" w16cid:durableId="1463842515">
    <w:abstractNumId w:val="6"/>
  </w:num>
  <w:num w:numId="6" w16cid:durableId="1290088103">
    <w:abstractNumId w:val="5"/>
  </w:num>
  <w:num w:numId="7" w16cid:durableId="87662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E0896"/>
    <w:rsid w:val="001209CA"/>
    <w:rsid w:val="00131CB5"/>
    <w:rsid w:val="00151A46"/>
    <w:rsid w:val="0015234E"/>
    <w:rsid w:val="00162262"/>
    <w:rsid w:val="001729F6"/>
    <w:rsid w:val="0017407E"/>
    <w:rsid w:val="001A0873"/>
    <w:rsid w:val="001A1406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2F55D3"/>
    <w:rsid w:val="003139EC"/>
    <w:rsid w:val="00314B0E"/>
    <w:rsid w:val="003518A6"/>
    <w:rsid w:val="00357EF6"/>
    <w:rsid w:val="0036195B"/>
    <w:rsid w:val="0037279E"/>
    <w:rsid w:val="003775DD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84F85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08E9"/>
    <w:rsid w:val="008F5208"/>
    <w:rsid w:val="00920859"/>
    <w:rsid w:val="00923021"/>
    <w:rsid w:val="00943733"/>
    <w:rsid w:val="009520D8"/>
    <w:rsid w:val="009E13C8"/>
    <w:rsid w:val="009E247D"/>
    <w:rsid w:val="009E25CC"/>
    <w:rsid w:val="009E5883"/>
    <w:rsid w:val="00A168CD"/>
    <w:rsid w:val="00A22E51"/>
    <w:rsid w:val="00A25098"/>
    <w:rsid w:val="00A62F7E"/>
    <w:rsid w:val="00A66D52"/>
    <w:rsid w:val="00A74C44"/>
    <w:rsid w:val="00AA7CC7"/>
    <w:rsid w:val="00AC7CC7"/>
    <w:rsid w:val="00AD08C3"/>
    <w:rsid w:val="00B25A0F"/>
    <w:rsid w:val="00B37B6B"/>
    <w:rsid w:val="00B70687"/>
    <w:rsid w:val="00B970A4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D6E36"/>
    <w:rsid w:val="00CE6115"/>
    <w:rsid w:val="00CF20B7"/>
    <w:rsid w:val="00D814ED"/>
    <w:rsid w:val="00D96641"/>
    <w:rsid w:val="00E045FC"/>
    <w:rsid w:val="00E066C8"/>
    <w:rsid w:val="00E16FC4"/>
    <w:rsid w:val="00E67CB2"/>
    <w:rsid w:val="00EB4FB3"/>
    <w:rsid w:val="00EC2A6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FF600-597F-4313-996D-2DE53B6A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34</cp:revision>
  <dcterms:created xsi:type="dcterms:W3CDTF">2023-04-25T06:05:00Z</dcterms:created>
  <dcterms:modified xsi:type="dcterms:W3CDTF">2026-02-18T09:46:00Z</dcterms:modified>
</cp:coreProperties>
</file>